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3260" w:hanging="1225"/>
        <w:spacing w:after="0" w:line="252" w:lineRule="auto"/>
        <w:rPr>
          <w:sz w:val="20"/>
          <w:szCs w:val="20"/>
          <w:color w:val="auto"/>
        </w:rPr>
      </w:pPr>
      <w:r>
        <w:rPr>
          <w:rFonts w:ascii="Arial" w:cs="Arial" w:eastAsia="Arial" w:hAnsi="Arial"/>
          <w:sz w:val="35"/>
          <w:szCs w:val="35"/>
          <w:b w:val="1"/>
          <w:bCs w:val="1"/>
          <w:u w:val="single" w:color="auto"/>
          <w:color w:val="auto"/>
        </w:rPr>
        <w:drawing>
          <wp:anchor simplePos="0" relativeHeight="251657728" behindDoc="1" locked="0" layoutInCell="0" allowOverlap="1">
            <wp:simplePos x="0" y="0"/>
            <wp:positionH relativeFrom="page">
              <wp:posOffset>1321435</wp:posOffset>
            </wp:positionH>
            <wp:positionV relativeFrom="page">
              <wp:posOffset>359410</wp:posOffset>
            </wp:positionV>
            <wp:extent cx="1090930" cy="899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090930" cy="899160"/>
                    </a:xfrm>
                    <a:prstGeom prst="rect">
                      <a:avLst/>
                    </a:prstGeom>
                    <a:noFill/>
                  </pic:spPr>
                </pic:pic>
              </a:graphicData>
            </a:graphic>
          </wp:anchor>
        </w:drawing>
        <w:t>CÂMARA MUNICIPAL DE SANTA BRANCA CNPJ. 01.958.948/0001-17</w:t>
      </w:r>
    </w:p>
    <w:p>
      <w:pPr>
        <w:spacing w:after="0" w:line="200" w:lineRule="exact"/>
        <w:rPr>
          <w:sz w:val="24"/>
          <w:szCs w:val="24"/>
          <w:color w:val="auto"/>
        </w:rPr>
      </w:pPr>
    </w:p>
    <w:p>
      <w:pPr>
        <w:spacing w:after="0" w:line="352" w:lineRule="exact"/>
        <w:rPr>
          <w:sz w:val="24"/>
          <w:szCs w:val="24"/>
          <w:color w:val="auto"/>
        </w:rPr>
      </w:pPr>
    </w:p>
    <w:p>
      <w:pPr>
        <w:ind w:left="1660"/>
        <w:spacing w:after="0"/>
        <w:rPr>
          <w:sz w:val="20"/>
          <w:szCs w:val="20"/>
          <w:color w:val="auto"/>
        </w:rPr>
      </w:pPr>
      <w:r>
        <w:rPr>
          <w:rFonts w:ascii="Arial" w:cs="Arial" w:eastAsia="Arial" w:hAnsi="Arial"/>
          <w:sz w:val="24"/>
          <w:szCs w:val="24"/>
          <w:b w:val="1"/>
          <w:bCs w:val="1"/>
          <w:i w:val="1"/>
          <w:iCs w:val="1"/>
          <w:u w:val="single" w:color="auto"/>
          <w:color w:val="auto"/>
        </w:rPr>
        <w:t>= RESOLUÇÃO Nº 02, DE 15 DE MARÇO DE 2016 =</w:t>
      </w:r>
    </w:p>
    <w:p>
      <w:pPr>
        <w:spacing w:after="0" w:line="289" w:lineRule="exact"/>
        <w:rPr>
          <w:sz w:val="24"/>
          <w:szCs w:val="24"/>
          <w:color w:val="auto"/>
        </w:rPr>
      </w:pPr>
    </w:p>
    <w:p>
      <w:pPr>
        <w:ind w:left="3540" w:right="140"/>
        <w:spacing w:after="0" w:line="238" w:lineRule="auto"/>
        <w:rPr>
          <w:sz w:val="20"/>
          <w:szCs w:val="20"/>
          <w:color w:val="auto"/>
        </w:rPr>
      </w:pPr>
      <w:r>
        <w:rPr>
          <w:rFonts w:ascii="Arial" w:cs="Arial" w:eastAsia="Arial" w:hAnsi="Arial"/>
          <w:sz w:val="24"/>
          <w:szCs w:val="24"/>
          <w:i w:val="1"/>
          <w:iCs w:val="1"/>
          <w:color w:val="auto"/>
        </w:rPr>
        <w:t>Dispõe sobre a fixação do subsídio mensal dos Vereadores da Câmara Municipal de Santa Branca para a Legislatura 2017/2020 e dá outras providências.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4" w:lineRule="exact"/>
        <w:rPr>
          <w:sz w:val="24"/>
          <w:szCs w:val="24"/>
          <w:color w:val="auto"/>
        </w:rPr>
      </w:pPr>
    </w:p>
    <w:p>
      <w:pPr>
        <w:jc w:val="both"/>
        <w:ind w:right="140" w:firstLine="3541"/>
        <w:spacing w:after="0" w:line="235" w:lineRule="auto"/>
        <w:rPr>
          <w:sz w:val="20"/>
          <w:szCs w:val="20"/>
          <w:color w:val="auto"/>
        </w:rPr>
      </w:pPr>
      <w:r>
        <w:rPr>
          <w:rFonts w:ascii="Arial" w:cs="Arial" w:eastAsia="Arial" w:hAnsi="Arial"/>
          <w:sz w:val="24"/>
          <w:szCs w:val="24"/>
          <w:i w:val="1"/>
          <w:iCs w:val="1"/>
          <w:color w:val="auto"/>
        </w:rPr>
        <w:t>JOSÉ FRANCISCO DA SILVA, PRESIDENTE DA CÂMARA MUNICIPAL DE SANTA BRANCA, no uso de suas atribuições legais,</w:t>
      </w:r>
    </w:p>
    <w:p>
      <w:pPr>
        <w:spacing w:after="0" w:line="283" w:lineRule="exact"/>
        <w:rPr>
          <w:sz w:val="24"/>
          <w:szCs w:val="24"/>
          <w:color w:val="auto"/>
        </w:rPr>
      </w:pPr>
    </w:p>
    <w:p>
      <w:pPr>
        <w:ind w:left="3540"/>
        <w:spacing w:after="0" w:line="239" w:lineRule="auto"/>
        <w:tabs>
          <w:tab w:leader="none" w:pos="4220" w:val="left"/>
          <w:tab w:leader="none" w:pos="5300" w:val="left"/>
          <w:tab w:leader="none" w:pos="6080" w:val="left"/>
          <w:tab w:leader="none" w:pos="6500" w:val="left"/>
          <w:tab w:leader="none" w:pos="7800" w:val="left"/>
        </w:tabs>
        <w:rPr>
          <w:sz w:val="20"/>
          <w:szCs w:val="20"/>
          <w:color w:val="auto"/>
        </w:rPr>
      </w:pPr>
      <w:r>
        <w:rPr>
          <w:rFonts w:ascii="Arial" w:cs="Arial" w:eastAsia="Arial" w:hAnsi="Arial"/>
          <w:sz w:val="24"/>
          <w:szCs w:val="24"/>
          <w:i w:val="1"/>
          <w:iCs w:val="1"/>
          <w:color w:val="auto"/>
        </w:rPr>
        <w:t>FAZ</w:t>
      </w:r>
      <w:r>
        <w:rPr>
          <w:sz w:val="20"/>
          <w:szCs w:val="20"/>
          <w:color w:val="auto"/>
        </w:rPr>
        <w:tab/>
      </w:r>
      <w:r>
        <w:rPr>
          <w:rFonts w:ascii="Arial" w:cs="Arial" w:eastAsia="Arial" w:hAnsi="Arial"/>
          <w:sz w:val="24"/>
          <w:szCs w:val="24"/>
          <w:i w:val="1"/>
          <w:iCs w:val="1"/>
          <w:color w:val="auto"/>
        </w:rPr>
        <w:t>SABER</w:t>
      </w:r>
      <w:r>
        <w:rPr>
          <w:sz w:val="20"/>
          <w:szCs w:val="20"/>
          <w:color w:val="auto"/>
        </w:rPr>
        <w:tab/>
      </w:r>
      <w:r>
        <w:rPr>
          <w:rFonts w:ascii="Arial" w:cs="Arial" w:eastAsia="Arial" w:hAnsi="Arial"/>
          <w:sz w:val="24"/>
          <w:szCs w:val="24"/>
          <w:i w:val="1"/>
          <w:iCs w:val="1"/>
          <w:color w:val="auto"/>
        </w:rPr>
        <w:t>QUE</w:t>
      </w:r>
      <w:r>
        <w:rPr>
          <w:sz w:val="20"/>
          <w:szCs w:val="20"/>
          <w:color w:val="auto"/>
        </w:rPr>
        <w:tab/>
      </w:r>
      <w:r>
        <w:rPr>
          <w:rFonts w:ascii="Arial" w:cs="Arial" w:eastAsia="Arial" w:hAnsi="Arial"/>
          <w:sz w:val="24"/>
          <w:szCs w:val="24"/>
          <w:i w:val="1"/>
          <w:iCs w:val="1"/>
          <w:color w:val="auto"/>
        </w:rPr>
        <w:t>A</w:t>
      </w:r>
      <w:r>
        <w:rPr>
          <w:sz w:val="20"/>
          <w:szCs w:val="20"/>
          <w:color w:val="auto"/>
        </w:rPr>
        <w:tab/>
      </w:r>
      <w:r>
        <w:rPr>
          <w:rFonts w:ascii="Arial" w:cs="Arial" w:eastAsia="Arial" w:hAnsi="Arial"/>
          <w:sz w:val="24"/>
          <w:szCs w:val="24"/>
          <w:i w:val="1"/>
          <w:iCs w:val="1"/>
          <w:color w:val="auto"/>
        </w:rPr>
        <w:t>CÂMARA</w:t>
      </w:r>
      <w:r>
        <w:rPr>
          <w:sz w:val="20"/>
          <w:szCs w:val="20"/>
          <w:color w:val="auto"/>
        </w:rPr>
        <w:tab/>
      </w:r>
      <w:r>
        <w:rPr>
          <w:rFonts w:ascii="Arial" w:cs="Arial" w:eastAsia="Arial" w:hAnsi="Arial"/>
          <w:sz w:val="23"/>
          <w:szCs w:val="23"/>
          <w:i w:val="1"/>
          <w:iCs w:val="1"/>
          <w:color w:val="auto"/>
        </w:rPr>
        <w:t>MUNICIPAL</w:t>
      </w:r>
    </w:p>
    <w:p>
      <w:pPr>
        <w:spacing w:after="0" w:line="9" w:lineRule="exact"/>
        <w:rPr>
          <w:sz w:val="24"/>
          <w:szCs w:val="24"/>
          <w:color w:val="auto"/>
        </w:rPr>
      </w:pPr>
    </w:p>
    <w:p>
      <w:pPr>
        <w:spacing w:after="0"/>
        <w:rPr>
          <w:sz w:val="20"/>
          <w:szCs w:val="20"/>
          <w:color w:val="auto"/>
        </w:rPr>
      </w:pPr>
      <w:r>
        <w:rPr>
          <w:rFonts w:ascii="Arial" w:cs="Arial" w:eastAsia="Arial" w:hAnsi="Arial"/>
          <w:sz w:val="24"/>
          <w:szCs w:val="24"/>
          <w:i w:val="1"/>
          <w:iCs w:val="1"/>
          <w:color w:val="auto"/>
        </w:rPr>
        <w:t xml:space="preserve">APROVOU E ELE PROMULGA A SEGUINTE  </w:t>
      </w:r>
      <w:r>
        <w:rPr>
          <w:rFonts w:ascii="Arial" w:cs="Arial" w:eastAsia="Arial" w:hAnsi="Arial"/>
          <w:sz w:val="24"/>
          <w:szCs w:val="24"/>
          <w:b w:val="1"/>
          <w:bCs w:val="1"/>
          <w:i w:val="1"/>
          <w:iCs w:val="1"/>
          <w:color w:val="auto"/>
        </w:rPr>
        <w:t>R E S O L U Ç Ã O</w:t>
      </w:r>
      <w:r>
        <w:rPr>
          <w:rFonts w:ascii="Arial" w:cs="Arial" w:eastAsia="Arial" w:hAnsi="Arial"/>
          <w:sz w:val="24"/>
          <w:szCs w:val="24"/>
          <w:i w:val="1"/>
          <w:iCs w:val="1"/>
          <w:color w:val="auto"/>
        </w:rPr>
        <w:t>:-</w:t>
      </w:r>
    </w:p>
    <w:p>
      <w:pPr>
        <w:spacing w:after="0" w:line="292" w:lineRule="exact"/>
        <w:rPr>
          <w:sz w:val="24"/>
          <w:szCs w:val="24"/>
          <w:color w:val="auto"/>
        </w:rPr>
      </w:pPr>
    </w:p>
    <w:p>
      <w:pPr>
        <w:jc w:val="both"/>
        <w:ind w:right="140" w:firstLine="3541"/>
        <w:spacing w:after="0" w:line="239" w:lineRule="auto"/>
        <w:rPr>
          <w:sz w:val="20"/>
          <w:szCs w:val="20"/>
          <w:color w:val="auto"/>
        </w:rPr>
      </w:pPr>
      <w:r>
        <w:rPr>
          <w:rFonts w:ascii="Arial" w:cs="Arial" w:eastAsia="Arial" w:hAnsi="Arial"/>
          <w:sz w:val="24"/>
          <w:szCs w:val="24"/>
          <w:i w:val="1"/>
          <w:iCs w:val="1"/>
          <w:color w:val="auto"/>
        </w:rPr>
        <w:t>Art. 1º O subsídio mensal dos Vereadores da Câmara Municipal de Santa Branca para a legislatura a ser iniciada em 1º de janeiro de 2017, com término previsto para 31 de dezembro de 2020, fica fixado na importância de R$ 2.920,00 (dois mil novecentos e vinte reais) e o seu pagamento será devido pelo comparecimento às sessões ordinárias realizadas no período.</w:t>
      </w:r>
    </w:p>
    <w:p>
      <w:pPr>
        <w:spacing w:after="0" w:line="296" w:lineRule="exact"/>
        <w:rPr>
          <w:sz w:val="24"/>
          <w:szCs w:val="24"/>
          <w:color w:val="auto"/>
        </w:rPr>
      </w:pPr>
    </w:p>
    <w:p>
      <w:pPr>
        <w:jc w:val="both"/>
        <w:ind w:right="140" w:firstLine="3541"/>
        <w:spacing w:after="0" w:line="237" w:lineRule="auto"/>
        <w:rPr>
          <w:sz w:val="20"/>
          <w:szCs w:val="20"/>
          <w:color w:val="auto"/>
        </w:rPr>
      </w:pPr>
      <w:r>
        <w:rPr>
          <w:rFonts w:ascii="Arial" w:cs="Arial" w:eastAsia="Arial" w:hAnsi="Arial"/>
          <w:sz w:val="24"/>
          <w:szCs w:val="24"/>
          <w:i w:val="1"/>
          <w:iCs w:val="1"/>
          <w:color w:val="auto"/>
        </w:rPr>
        <w:t>Art. 2º O valor de cada sessão ordinária será obtido dividindo-se o total do subsídio mensal pelo número de sessões ordinárias que forem programadas durante o mês.</w:t>
      </w:r>
    </w:p>
    <w:p>
      <w:pPr>
        <w:spacing w:after="0" w:line="296" w:lineRule="exact"/>
        <w:rPr>
          <w:sz w:val="24"/>
          <w:szCs w:val="24"/>
          <w:color w:val="auto"/>
        </w:rPr>
      </w:pPr>
    </w:p>
    <w:p>
      <w:pPr>
        <w:jc w:val="both"/>
        <w:ind w:right="140" w:firstLine="3541"/>
        <w:spacing w:after="0" w:line="235" w:lineRule="auto"/>
        <w:rPr>
          <w:sz w:val="20"/>
          <w:szCs w:val="20"/>
          <w:color w:val="auto"/>
        </w:rPr>
      </w:pPr>
      <w:r>
        <w:rPr>
          <w:rFonts w:ascii="Arial" w:cs="Arial" w:eastAsia="Arial" w:hAnsi="Arial"/>
          <w:sz w:val="24"/>
          <w:szCs w:val="24"/>
          <w:i w:val="1"/>
          <w:iCs w:val="1"/>
          <w:color w:val="auto"/>
        </w:rPr>
        <w:t>Art. 3º As sessões extraordinárias, solenes e especiais realizadas pela Câmara Municipal não serão remuneradas.</w:t>
      </w:r>
    </w:p>
    <w:p>
      <w:pPr>
        <w:spacing w:after="0" w:line="295" w:lineRule="exact"/>
        <w:rPr>
          <w:sz w:val="24"/>
          <w:szCs w:val="24"/>
          <w:color w:val="auto"/>
        </w:rPr>
      </w:pPr>
    </w:p>
    <w:p>
      <w:pPr>
        <w:jc w:val="both"/>
        <w:ind w:right="140" w:firstLine="3541"/>
        <w:spacing w:after="0" w:line="235" w:lineRule="auto"/>
        <w:rPr>
          <w:sz w:val="20"/>
          <w:szCs w:val="20"/>
          <w:color w:val="auto"/>
        </w:rPr>
      </w:pPr>
      <w:r>
        <w:rPr>
          <w:rFonts w:ascii="Arial" w:cs="Arial" w:eastAsia="Arial" w:hAnsi="Arial"/>
          <w:sz w:val="24"/>
          <w:szCs w:val="24"/>
          <w:i w:val="1"/>
          <w:iCs w:val="1"/>
          <w:color w:val="auto"/>
        </w:rPr>
        <w:t>Art. 4º Durante o recesso legislativo, os Vereadores receberão o subsídio integralmente.</w:t>
      </w:r>
    </w:p>
    <w:p>
      <w:pPr>
        <w:spacing w:after="0" w:line="295" w:lineRule="exact"/>
        <w:rPr>
          <w:sz w:val="24"/>
          <w:szCs w:val="24"/>
          <w:color w:val="auto"/>
        </w:rPr>
      </w:pPr>
    </w:p>
    <w:p>
      <w:pPr>
        <w:jc w:val="both"/>
        <w:ind w:right="140" w:firstLine="3541"/>
        <w:spacing w:after="0" w:line="238" w:lineRule="auto"/>
        <w:rPr>
          <w:sz w:val="20"/>
          <w:szCs w:val="20"/>
          <w:color w:val="auto"/>
        </w:rPr>
      </w:pPr>
      <w:r>
        <w:rPr>
          <w:rFonts w:ascii="Arial" w:cs="Arial" w:eastAsia="Arial" w:hAnsi="Arial"/>
          <w:sz w:val="24"/>
          <w:szCs w:val="24"/>
          <w:i w:val="1"/>
          <w:iCs w:val="1"/>
          <w:color w:val="auto"/>
        </w:rPr>
        <w:t>Art. 5º O subsídio tratado nesta Lei será revisto na mesma data e com o mesmo índice da revisão da remuneração dos servidores públicos do Poder Legislativo Municipal, nos termos do inciso X do artigo 37 da Constituição Federal.</w:t>
      </w:r>
    </w:p>
    <w:p>
      <w:pPr>
        <w:spacing w:after="0" w:line="19" w:lineRule="exact"/>
        <w:rPr>
          <w:sz w:val="24"/>
          <w:szCs w:val="24"/>
          <w:color w:val="auto"/>
        </w:rPr>
      </w:pPr>
    </w:p>
    <w:p>
      <w:pPr>
        <w:jc w:val="both"/>
        <w:ind w:right="140" w:firstLine="3541"/>
        <w:spacing w:after="0" w:line="235" w:lineRule="auto"/>
        <w:rPr>
          <w:sz w:val="20"/>
          <w:szCs w:val="20"/>
          <w:color w:val="auto"/>
        </w:rPr>
      </w:pPr>
      <w:r>
        <w:rPr>
          <w:rFonts w:ascii="Arial" w:cs="Arial" w:eastAsia="Arial" w:hAnsi="Arial"/>
          <w:sz w:val="24"/>
          <w:szCs w:val="24"/>
          <w:i w:val="1"/>
          <w:iCs w:val="1"/>
          <w:color w:val="auto"/>
        </w:rPr>
        <w:t>Art. 6º Os Vereadores que deixarem de comparecer às sessões ordinárias, terão desconto proporcional no valor de seu subsídio.</w:t>
      </w:r>
    </w:p>
    <w:p>
      <w:pPr>
        <w:spacing w:after="0" w:line="295" w:lineRule="exact"/>
        <w:rPr>
          <w:sz w:val="24"/>
          <w:szCs w:val="24"/>
          <w:color w:val="auto"/>
        </w:rPr>
      </w:pPr>
    </w:p>
    <w:p>
      <w:pPr>
        <w:ind w:right="260" w:firstLine="3541"/>
        <w:spacing w:after="0" w:line="238" w:lineRule="auto"/>
        <w:rPr>
          <w:sz w:val="20"/>
          <w:szCs w:val="20"/>
          <w:color w:val="auto"/>
        </w:rPr>
      </w:pPr>
      <w:r>
        <w:rPr>
          <w:rFonts w:ascii="Arial" w:cs="Arial" w:eastAsia="Arial" w:hAnsi="Arial"/>
          <w:sz w:val="24"/>
          <w:szCs w:val="24"/>
          <w:color w:val="auto"/>
        </w:rPr>
        <w:t>Parágrafo Único. Não será considerada como falta, para efeito de recebimento do valor integral do subsídio, a ausência do Vereador à sessão ordinária, desde que justificada em razão de problema de saúde, devidamente comprovado com atestado médico ou para desempenho de missões temporárias de caráter cultural, de representação ou de interesse do Município.</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3" w:lineRule="exact"/>
        <w:rPr>
          <w:sz w:val="24"/>
          <w:szCs w:val="24"/>
          <w:color w:val="auto"/>
        </w:rPr>
      </w:pPr>
    </w:p>
    <w:p>
      <w:pPr>
        <w:ind w:left="900"/>
        <w:spacing w:after="0" w:line="239" w:lineRule="auto"/>
        <w:rPr>
          <w:sz w:val="20"/>
          <w:szCs w:val="20"/>
          <w:color w:val="auto"/>
        </w:rPr>
      </w:pPr>
      <w:r>
        <w:rPr>
          <w:rFonts w:ascii="Arial" w:cs="Arial" w:eastAsia="Arial" w:hAnsi="Arial"/>
          <w:sz w:val="18"/>
          <w:szCs w:val="18"/>
          <w:color w:val="auto"/>
        </w:rPr>
        <w:t>Praça Ajudante Braga, 108 – Fone (012) 3972-0322  CEP 12.380-000 - Santa Branca – SP</w:t>
      </w:r>
    </w:p>
    <w:p>
      <w:pPr>
        <w:spacing w:after="0" w:line="5" w:lineRule="exact"/>
        <w:rPr>
          <w:sz w:val="24"/>
          <w:szCs w:val="24"/>
          <w:color w:val="auto"/>
        </w:rPr>
      </w:pPr>
    </w:p>
    <w:p>
      <w:pPr>
        <w:ind w:left="7440"/>
        <w:spacing w:after="0" w:line="239" w:lineRule="auto"/>
        <w:rPr>
          <w:sz w:val="20"/>
          <w:szCs w:val="20"/>
          <w:color w:val="auto"/>
        </w:rPr>
      </w:pPr>
      <w:r>
        <w:rPr>
          <w:rFonts w:ascii="Times New Roman" w:cs="Times New Roman" w:eastAsia="Times New Roman" w:hAnsi="Times New Roman"/>
          <w:sz w:val="18"/>
          <w:szCs w:val="18"/>
          <w:b w:val="1"/>
          <w:bCs w:val="1"/>
          <w:i w:val="1"/>
          <w:iCs w:val="1"/>
          <w:color w:val="auto"/>
        </w:rPr>
        <w:t>cmstbr@uol.com.br</w:t>
      </w:r>
    </w:p>
    <w:p>
      <w:pPr>
        <w:sectPr>
          <w:pgSz w:w="11900" w:h="16841" w:orient="portrait"/>
          <w:cols w:equalWidth="0" w:num="1">
            <w:col w:w="9260"/>
          </w:cols>
          <w:pgMar w:left="2220" w:top="916" w:right="420" w:bottom="659" w:gutter="0" w:footer="0" w:header="0"/>
        </w:sectPr>
      </w:pPr>
    </w:p>
    <w:bookmarkStart w:id="1" w:name="page2"/>
    <w:bookmarkEnd w:id="1"/>
    <w:p>
      <w:pPr>
        <w:ind w:left="3260" w:hanging="1225"/>
        <w:spacing w:after="0" w:line="252" w:lineRule="auto"/>
        <w:rPr>
          <w:sz w:val="20"/>
          <w:szCs w:val="20"/>
          <w:color w:val="auto"/>
        </w:rPr>
      </w:pPr>
      <w:r>
        <w:rPr>
          <w:rFonts w:ascii="Arial" w:cs="Arial" w:eastAsia="Arial" w:hAnsi="Arial"/>
          <w:sz w:val="35"/>
          <w:szCs w:val="35"/>
          <w:b w:val="1"/>
          <w:bCs w:val="1"/>
          <w:u w:val="single" w:color="auto"/>
          <w:color w:val="auto"/>
        </w:rPr>
        <w:drawing>
          <wp:anchor simplePos="0" relativeHeight="251657728" behindDoc="1" locked="0" layoutInCell="0" allowOverlap="1">
            <wp:simplePos x="0" y="0"/>
            <wp:positionH relativeFrom="page">
              <wp:posOffset>1321435</wp:posOffset>
            </wp:positionH>
            <wp:positionV relativeFrom="page">
              <wp:posOffset>359410</wp:posOffset>
            </wp:positionV>
            <wp:extent cx="1090930" cy="899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1090930" cy="899160"/>
                    </a:xfrm>
                    <a:prstGeom prst="rect">
                      <a:avLst/>
                    </a:prstGeom>
                    <a:noFill/>
                  </pic:spPr>
                </pic:pic>
              </a:graphicData>
            </a:graphic>
          </wp:anchor>
        </w:drawing>
        <w:t>CÂMARA MUNICIPAL DE SANTA BRANCA CNPJ. 01.958.948/0001-17</w:t>
      </w:r>
    </w:p>
    <w:p>
      <w:pPr>
        <w:spacing w:after="0" w:line="200" w:lineRule="exact"/>
        <w:rPr>
          <w:sz w:val="20"/>
          <w:szCs w:val="20"/>
          <w:color w:val="auto"/>
        </w:rPr>
      </w:pPr>
    </w:p>
    <w:p>
      <w:pPr>
        <w:spacing w:after="0" w:line="357" w:lineRule="exact"/>
        <w:rPr>
          <w:sz w:val="20"/>
          <w:szCs w:val="20"/>
          <w:color w:val="auto"/>
        </w:rPr>
      </w:pPr>
    </w:p>
    <w:p>
      <w:pPr>
        <w:jc w:val="both"/>
        <w:ind w:right="140" w:firstLine="3541"/>
        <w:spacing w:after="0" w:line="237" w:lineRule="auto"/>
        <w:rPr>
          <w:sz w:val="20"/>
          <w:szCs w:val="20"/>
          <w:color w:val="auto"/>
        </w:rPr>
      </w:pPr>
      <w:r>
        <w:rPr>
          <w:rFonts w:ascii="Arial" w:cs="Arial" w:eastAsia="Arial" w:hAnsi="Arial"/>
          <w:sz w:val="24"/>
          <w:szCs w:val="24"/>
          <w:i w:val="1"/>
          <w:iCs w:val="1"/>
          <w:color w:val="auto"/>
        </w:rPr>
        <w:t>Art. 7º As despesas decorrentes da execução desta Resolução correrão à conta das dotações próprias, consignadas ao Poder Legislativo nos respectivos orçamentos.</w:t>
      </w:r>
    </w:p>
    <w:p>
      <w:pPr>
        <w:spacing w:after="0" w:line="5" w:lineRule="exact"/>
        <w:rPr>
          <w:sz w:val="20"/>
          <w:szCs w:val="20"/>
          <w:color w:val="auto"/>
        </w:rPr>
      </w:pPr>
    </w:p>
    <w:p>
      <w:pPr>
        <w:ind w:left="7660"/>
        <w:spacing w:after="0"/>
        <w:rPr>
          <w:sz w:val="20"/>
          <w:szCs w:val="20"/>
          <w:color w:val="auto"/>
        </w:rPr>
      </w:pPr>
      <w:r>
        <w:rPr>
          <w:rFonts w:ascii="Arial" w:cs="Arial" w:eastAsia="Arial" w:hAnsi="Arial"/>
          <w:sz w:val="24"/>
          <w:szCs w:val="24"/>
          <w:i w:val="1"/>
          <w:iCs w:val="1"/>
          <w:color w:val="auto"/>
        </w:rPr>
        <w:t>(cont. fls. 02.)</w:t>
      </w:r>
    </w:p>
    <w:p>
      <w:pPr>
        <w:spacing w:after="0" w:line="288" w:lineRule="exact"/>
        <w:rPr>
          <w:sz w:val="20"/>
          <w:szCs w:val="20"/>
          <w:color w:val="auto"/>
        </w:rPr>
      </w:pPr>
    </w:p>
    <w:p>
      <w:pPr>
        <w:ind w:left="8320"/>
        <w:spacing w:after="0"/>
        <w:rPr>
          <w:sz w:val="20"/>
          <w:szCs w:val="20"/>
          <w:color w:val="auto"/>
        </w:rPr>
      </w:pPr>
      <w:r>
        <w:rPr>
          <w:rFonts w:ascii="Arial" w:cs="Arial" w:eastAsia="Arial" w:hAnsi="Arial"/>
          <w:sz w:val="24"/>
          <w:szCs w:val="24"/>
          <w:b w:val="1"/>
          <w:bCs w:val="1"/>
          <w:i w:val="1"/>
          <w:iCs w:val="1"/>
          <w:color w:val="auto"/>
        </w:rPr>
        <w:t>fls. 02.</w:t>
      </w:r>
    </w:p>
    <w:p>
      <w:pPr>
        <w:spacing w:after="0" w:line="292" w:lineRule="exact"/>
        <w:rPr>
          <w:sz w:val="20"/>
          <w:szCs w:val="20"/>
          <w:color w:val="auto"/>
        </w:rPr>
      </w:pPr>
    </w:p>
    <w:p>
      <w:pPr>
        <w:jc w:val="both"/>
        <w:ind w:right="140" w:firstLine="3541"/>
        <w:spacing w:after="0" w:line="237" w:lineRule="auto"/>
        <w:rPr>
          <w:sz w:val="20"/>
          <w:szCs w:val="20"/>
          <w:color w:val="auto"/>
        </w:rPr>
      </w:pPr>
      <w:r>
        <w:rPr>
          <w:rFonts w:ascii="Arial" w:cs="Arial" w:eastAsia="Arial" w:hAnsi="Arial"/>
          <w:sz w:val="24"/>
          <w:szCs w:val="24"/>
          <w:i w:val="1"/>
          <w:iCs w:val="1"/>
          <w:color w:val="auto"/>
        </w:rPr>
        <w:t>Art. 8º Esta Resolução entrará em vigor na data de sua publicação, com seus efeitos assegurados a partir de 1º de janeiro de 2017, revogadas as disposições em contrário.</w:t>
      </w:r>
    </w:p>
    <w:p>
      <w:pPr>
        <w:spacing w:after="0" w:line="200" w:lineRule="exact"/>
        <w:rPr>
          <w:sz w:val="20"/>
          <w:szCs w:val="20"/>
          <w:color w:val="auto"/>
        </w:rPr>
      </w:pPr>
    </w:p>
    <w:p>
      <w:pPr>
        <w:spacing w:after="0" w:line="362" w:lineRule="exact"/>
        <w:rPr>
          <w:sz w:val="20"/>
          <w:szCs w:val="20"/>
          <w:color w:val="auto"/>
        </w:rPr>
      </w:pPr>
    </w:p>
    <w:p>
      <w:pPr>
        <w:ind w:left="3540"/>
        <w:spacing w:after="0"/>
        <w:tabs>
          <w:tab w:leader="none" w:pos="4520" w:val="left"/>
          <w:tab w:leader="none" w:pos="5700" w:val="left"/>
          <w:tab w:leader="none" w:pos="6120" w:val="left"/>
          <w:tab w:leader="none" w:pos="6920" w:val="left"/>
          <w:tab w:leader="none" w:pos="7900" w:val="left"/>
          <w:tab w:leader="none" w:pos="8820" w:val="left"/>
        </w:tabs>
        <w:rPr>
          <w:sz w:val="20"/>
          <w:szCs w:val="20"/>
          <w:color w:val="auto"/>
        </w:rPr>
      </w:pPr>
      <w:r>
        <w:rPr>
          <w:rFonts w:ascii="Arial" w:cs="Arial" w:eastAsia="Arial" w:hAnsi="Arial"/>
          <w:sz w:val="24"/>
          <w:szCs w:val="24"/>
          <w:i w:val="1"/>
          <w:iCs w:val="1"/>
          <w:color w:val="auto"/>
        </w:rPr>
        <w:t>Câmara</w:t>
      </w:r>
      <w:r>
        <w:rPr>
          <w:sz w:val="20"/>
          <w:szCs w:val="20"/>
          <w:color w:val="auto"/>
        </w:rPr>
        <w:tab/>
      </w:r>
      <w:r>
        <w:rPr>
          <w:rFonts w:ascii="Arial" w:cs="Arial" w:eastAsia="Arial" w:hAnsi="Arial"/>
          <w:sz w:val="24"/>
          <w:szCs w:val="24"/>
          <w:i w:val="1"/>
          <w:iCs w:val="1"/>
          <w:color w:val="auto"/>
        </w:rPr>
        <w:t>Municipal</w:t>
      </w:r>
      <w:r>
        <w:rPr>
          <w:sz w:val="20"/>
          <w:szCs w:val="20"/>
          <w:color w:val="auto"/>
        </w:rPr>
        <w:tab/>
      </w:r>
      <w:r>
        <w:rPr>
          <w:rFonts w:ascii="Arial" w:cs="Arial" w:eastAsia="Arial" w:hAnsi="Arial"/>
          <w:sz w:val="24"/>
          <w:szCs w:val="24"/>
          <w:i w:val="1"/>
          <w:iCs w:val="1"/>
          <w:color w:val="auto"/>
        </w:rPr>
        <w:t>de</w:t>
      </w:r>
      <w:r>
        <w:rPr>
          <w:sz w:val="20"/>
          <w:szCs w:val="20"/>
          <w:color w:val="auto"/>
        </w:rPr>
        <w:tab/>
      </w:r>
      <w:r>
        <w:rPr>
          <w:rFonts w:ascii="Arial" w:cs="Arial" w:eastAsia="Arial" w:hAnsi="Arial"/>
          <w:sz w:val="24"/>
          <w:szCs w:val="24"/>
          <w:i w:val="1"/>
          <w:iCs w:val="1"/>
          <w:color w:val="auto"/>
        </w:rPr>
        <w:t>Santa</w:t>
      </w:r>
      <w:r>
        <w:rPr>
          <w:sz w:val="20"/>
          <w:szCs w:val="20"/>
          <w:color w:val="auto"/>
        </w:rPr>
        <w:tab/>
      </w:r>
      <w:r>
        <w:rPr>
          <w:rFonts w:ascii="Arial" w:cs="Arial" w:eastAsia="Arial" w:hAnsi="Arial"/>
          <w:sz w:val="24"/>
          <w:szCs w:val="24"/>
          <w:i w:val="1"/>
          <w:iCs w:val="1"/>
          <w:color w:val="auto"/>
        </w:rPr>
        <w:t>Branca,</w:t>
      </w:r>
      <w:r>
        <w:rPr>
          <w:sz w:val="20"/>
          <w:szCs w:val="20"/>
          <w:color w:val="auto"/>
        </w:rPr>
        <w:tab/>
      </w:r>
      <w:r>
        <w:rPr>
          <w:rFonts w:ascii="Arial" w:cs="Arial" w:eastAsia="Arial" w:hAnsi="Arial"/>
          <w:sz w:val="24"/>
          <w:szCs w:val="24"/>
          <w:i w:val="1"/>
          <w:iCs w:val="1"/>
          <w:color w:val="auto"/>
        </w:rPr>
        <w:t>em  15</w:t>
      </w:r>
      <w:r>
        <w:rPr>
          <w:sz w:val="20"/>
          <w:szCs w:val="20"/>
          <w:color w:val="auto"/>
        </w:rPr>
        <w:tab/>
      </w:r>
      <w:r>
        <w:rPr>
          <w:rFonts w:ascii="Arial" w:cs="Arial" w:eastAsia="Arial" w:hAnsi="Arial"/>
          <w:sz w:val="24"/>
          <w:szCs w:val="24"/>
          <w:i w:val="1"/>
          <w:iCs w:val="1"/>
          <w:color w:val="auto"/>
        </w:rPr>
        <w:t>de</w:t>
      </w:r>
    </w:p>
    <w:p>
      <w:pPr>
        <w:spacing w:after="0" w:line="2" w:lineRule="exact"/>
        <w:rPr>
          <w:sz w:val="20"/>
          <w:szCs w:val="20"/>
          <w:color w:val="auto"/>
        </w:rPr>
      </w:pPr>
    </w:p>
    <w:p>
      <w:pPr>
        <w:spacing w:after="0"/>
        <w:rPr>
          <w:sz w:val="20"/>
          <w:szCs w:val="20"/>
          <w:color w:val="auto"/>
        </w:rPr>
      </w:pPr>
      <w:r>
        <w:rPr>
          <w:rFonts w:ascii="Arial" w:cs="Arial" w:eastAsia="Arial" w:hAnsi="Arial"/>
          <w:sz w:val="24"/>
          <w:szCs w:val="24"/>
          <w:i w:val="1"/>
          <w:iCs w:val="1"/>
          <w:color w:val="auto"/>
        </w:rPr>
        <w:t>Março de 2016.-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ind w:left="4800"/>
        <w:spacing w:after="0"/>
        <w:rPr>
          <w:sz w:val="20"/>
          <w:szCs w:val="20"/>
          <w:color w:val="auto"/>
        </w:rPr>
      </w:pPr>
      <w:r>
        <w:rPr>
          <w:rFonts w:ascii="Arial" w:cs="Arial" w:eastAsia="Arial" w:hAnsi="Arial"/>
          <w:sz w:val="24"/>
          <w:szCs w:val="24"/>
          <w:i w:val="1"/>
          <w:iCs w:val="1"/>
          <w:color w:val="auto"/>
        </w:rPr>
        <w:t>JOSÉ FRANCISDO DA SILVA</w:t>
      </w:r>
    </w:p>
    <w:p>
      <w:pPr>
        <w:spacing w:after="0" w:line="2" w:lineRule="exact"/>
        <w:rPr>
          <w:sz w:val="20"/>
          <w:szCs w:val="20"/>
          <w:color w:val="auto"/>
        </w:rPr>
      </w:pPr>
    </w:p>
    <w:p>
      <w:pPr>
        <w:ind w:left="4980"/>
        <w:spacing w:after="0"/>
        <w:rPr>
          <w:sz w:val="20"/>
          <w:szCs w:val="20"/>
          <w:color w:val="auto"/>
        </w:rPr>
      </w:pPr>
      <w:r>
        <w:rPr>
          <w:rFonts w:ascii="Arial" w:cs="Arial" w:eastAsia="Arial" w:hAnsi="Arial"/>
          <w:sz w:val="24"/>
          <w:szCs w:val="24"/>
          <w:i w:val="1"/>
          <w:iCs w:val="1"/>
          <w:color w:val="auto"/>
        </w:rPr>
        <w:t>PRESIDENTE DA CÂMARA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both"/>
        <w:ind w:right="140" w:firstLine="4249"/>
        <w:spacing w:after="0" w:line="235" w:lineRule="auto"/>
        <w:rPr>
          <w:sz w:val="20"/>
          <w:szCs w:val="20"/>
          <w:color w:val="auto"/>
        </w:rPr>
      </w:pPr>
      <w:r>
        <w:rPr>
          <w:rFonts w:ascii="Arial" w:cs="Arial" w:eastAsia="Arial" w:hAnsi="Arial"/>
          <w:sz w:val="24"/>
          <w:szCs w:val="24"/>
          <w:i w:val="1"/>
          <w:iCs w:val="1"/>
          <w:color w:val="auto"/>
        </w:rPr>
        <w:t>Registrada na Diretoria Geral e afixada no Quadro de Avisos da Câmara Municipal de Santa Branca.</w:t>
      </w:r>
    </w:p>
    <w:p>
      <w:pPr>
        <w:spacing w:after="0" w:line="200" w:lineRule="exact"/>
        <w:rPr>
          <w:sz w:val="20"/>
          <w:szCs w:val="20"/>
          <w:color w:val="auto"/>
        </w:rPr>
      </w:pPr>
    </w:p>
    <w:p>
      <w:pPr>
        <w:spacing w:after="0" w:line="360" w:lineRule="exact"/>
        <w:rPr>
          <w:sz w:val="20"/>
          <w:szCs w:val="20"/>
          <w:color w:val="auto"/>
        </w:rPr>
      </w:pPr>
    </w:p>
    <w:p>
      <w:pPr>
        <w:ind w:left="4940"/>
        <w:spacing w:after="0"/>
        <w:rPr>
          <w:sz w:val="20"/>
          <w:szCs w:val="20"/>
          <w:color w:val="auto"/>
        </w:rPr>
      </w:pPr>
      <w:r>
        <w:rPr>
          <w:rFonts w:ascii="Arial" w:cs="Arial" w:eastAsia="Arial" w:hAnsi="Arial"/>
          <w:sz w:val="24"/>
          <w:szCs w:val="24"/>
          <w:i w:val="1"/>
          <w:iCs w:val="1"/>
          <w:color w:val="auto"/>
        </w:rPr>
        <w:t>PAULO SÉRGIO DE OLIVEIRA</w:t>
      </w:r>
    </w:p>
    <w:p>
      <w:pPr>
        <w:spacing w:after="0" w:line="2" w:lineRule="exact"/>
        <w:rPr>
          <w:sz w:val="20"/>
          <w:szCs w:val="20"/>
          <w:color w:val="auto"/>
        </w:rPr>
      </w:pPr>
    </w:p>
    <w:p>
      <w:pPr>
        <w:ind w:left="5720"/>
        <w:spacing w:after="0"/>
        <w:rPr>
          <w:sz w:val="20"/>
          <w:szCs w:val="20"/>
          <w:color w:val="auto"/>
        </w:rPr>
      </w:pPr>
      <w:r>
        <w:rPr>
          <w:rFonts w:ascii="Arial" w:cs="Arial" w:eastAsia="Arial" w:hAnsi="Arial"/>
          <w:sz w:val="24"/>
          <w:szCs w:val="24"/>
          <w:i w:val="1"/>
          <w:iCs w:val="1"/>
          <w:color w:val="auto"/>
        </w:rPr>
        <w:t>DIRETOR GERAL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900"/>
        <w:spacing w:after="0" w:line="239" w:lineRule="auto"/>
        <w:rPr>
          <w:sz w:val="20"/>
          <w:szCs w:val="20"/>
          <w:color w:val="auto"/>
        </w:rPr>
      </w:pPr>
      <w:r>
        <w:rPr>
          <w:rFonts w:ascii="Arial" w:cs="Arial" w:eastAsia="Arial" w:hAnsi="Arial"/>
          <w:sz w:val="18"/>
          <w:szCs w:val="18"/>
          <w:color w:val="auto"/>
        </w:rPr>
        <w:t>Praça Ajudante Braga, 108 – Fone (012) 3972-0322  CEP 12.380-000 - Santa Branca – SP</w:t>
      </w:r>
    </w:p>
    <w:p>
      <w:pPr>
        <w:spacing w:after="0" w:line="5" w:lineRule="exact"/>
        <w:rPr>
          <w:sz w:val="20"/>
          <w:szCs w:val="20"/>
          <w:color w:val="auto"/>
        </w:rPr>
      </w:pPr>
    </w:p>
    <w:p>
      <w:pPr>
        <w:ind w:left="7440"/>
        <w:spacing w:after="0" w:line="239" w:lineRule="auto"/>
        <w:rPr>
          <w:sz w:val="20"/>
          <w:szCs w:val="20"/>
          <w:color w:val="auto"/>
        </w:rPr>
      </w:pPr>
      <w:r>
        <w:rPr>
          <w:rFonts w:ascii="Times New Roman" w:cs="Times New Roman" w:eastAsia="Times New Roman" w:hAnsi="Times New Roman"/>
          <w:sz w:val="18"/>
          <w:szCs w:val="18"/>
          <w:b w:val="1"/>
          <w:bCs w:val="1"/>
          <w:i w:val="1"/>
          <w:iCs w:val="1"/>
          <w:color w:val="auto"/>
        </w:rPr>
        <w:t>cmstbr@uol.com.br</w:t>
      </w:r>
    </w:p>
    <w:sectPr>
      <w:pgSz w:w="11900" w:h="16841" w:orient="portrait"/>
      <w:cols w:equalWidth="0" w:num="1">
        <w:col w:w="9260"/>
      </w:cols>
      <w:pgMar w:left="2220" w:top="916" w:right="420" w:bottom="659"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2016-09-22T18:12:15Z</dcterms:created>
  <dcterms:modified xsi:type="dcterms:W3CDTF">2016-09-22T18:12:15Z</dcterms:modified>
</cp:coreProperties>
</file>