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76325" cy="904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center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 xml:space="preserve">portal-da-transparencia/2018/janeiro/Movimento-22-01-2018.pdf= 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u w:val="single" w:color="auto"/>
          <w:color w:val="auto"/>
        </w:rPr>
        <w:t>RESOLUÇÃO Nº 04,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u w:val="single" w:color="auto"/>
          <w:color w:val="auto"/>
        </w:rPr>
        <w:t>DE 28 DE NOVEMBRO DE 2017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=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jc w:val="both"/>
        <w:ind w:left="3660" w:right="2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Dispõe sobre reembolso e despesas de Vereadores, da Presidência e de Servidores da Câmara Municipal de Santa Branca em viagens ao representar o poder legislativo ou tratar de assuntos de interesse do Município.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EDER DE ARAÚJO SENNA, PRESIDENTE DA CÂMARA MUNICIPAL DE SANTA BRANCA, no uso de suas atribuições legais,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 xml:space="preserve">FAZ SABER QUE A CÂMARA MUNICIPAL APROVOU E ELE PROMULGA A SEGUINTE 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R E S O L U Ç Ã O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: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1º Fica autorizado o reembolso das despesas realizadas em viagens de Vereadores, da Presidência e de Servidores da Câmara Municipal de Santa Branca ao desempenhar missão de representação do Município, ao participar de eventos relacionados com suas funções, ao tratar de assuntos de interesse do Município, e demais atividades quando atuando a serviços do Poder Legislativo.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2º Apenas serão consideradas passíveis de reembolso as despesas de viagens previamente aprovadas pela presidência da Câmara conforme a sua oportunidade e conveniência.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3980" w:hanging="177"/>
        <w:spacing w:after="0"/>
        <w:tabs>
          <w:tab w:leader="none" w:pos="398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i w:val="1"/>
          <w:iCs w:val="1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1º Cada Vereador da Câmara Municipal apenas poderá</w:t>
      </w:r>
    </w:p>
    <w:p>
      <w:pPr>
        <w:ind w:left="260"/>
        <w:spacing w:after="0"/>
        <w:rPr>
          <w:rFonts w:ascii="Arial" w:cs="Arial" w:eastAsia="Arial" w:hAnsi="Arial"/>
          <w:sz w:val="22"/>
          <w:szCs w:val="22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ter reembolsadas as despesas de no máximo 4 (quatro) viagens por mês.</w:t>
      </w:r>
    </w:p>
    <w:p>
      <w:pPr>
        <w:ind w:left="4040" w:hanging="237"/>
        <w:spacing w:after="0"/>
        <w:tabs>
          <w:tab w:leader="none" w:pos="4040" w:val="left"/>
        </w:tabs>
        <w:numPr>
          <w:ilvl w:val="0"/>
          <w:numId w:val="1"/>
        </w:numPr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2º Em se tratando de servidores, as viagens serão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realizadas de acordo com as necessidades da Câmara Municipal.</w:t>
      </w:r>
    </w:p>
    <w:p>
      <w:pPr>
        <w:spacing w:after="0" w:line="11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jc w:val="both"/>
        <w:ind w:left="260" w:right="20" w:firstLine="3543"/>
        <w:spacing w:after="0" w:line="236" w:lineRule="auto"/>
        <w:tabs>
          <w:tab w:leader="none" w:pos="4110" w:val="left"/>
        </w:tabs>
        <w:numPr>
          <w:ilvl w:val="0"/>
          <w:numId w:val="1"/>
        </w:numPr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3° A utilização de transporte aéreo deverá ser expressamente autorizada pela Presidência, mediante necessidade expressa e fundamentada.</w:t>
      </w:r>
    </w:p>
    <w:p>
      <w:pPr>
        <w:spacing w:after="0" w:line="11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jc w:val="both"/>
        <w:ind w:left="260" w:right="20" w:firstLine="3543"/>
        <w:spacing w:after="0" w:line="236" w:lineRule="auto"/>
        <w:tabs>
          <w:tab w:leader="none" w:pos="4002" w:val="left"/>
        </w:tabs>
        <w:numPr>
          <w:ilvl w:val="0"/>
          <w:numId w:val="1"/>
        </w:numPr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4º Em todos os casos de deslocamentos para viagens previstos nesta Resolução é obrigatório o requerimento prévio por meio do Formulário para Autorização de Viagem constante no Anexo I.</w:t>
      </w:r>
    </w:p>
    <w:p>
      <w:pPr>
        <w:spacing w:after="0" w:line="3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ind w:left="4100" w:hanging="297"/>
        <w:spacing w:after="0"/>
        <w:tabs>
          <w:tab w:leader="none" w:pos="4100" w:val="left"/>
        </w:tabs>
        <w:numPr>
          <w:ilvl w:val="0"/>
          <w:numId w:val="1"/>
        </w:numPr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5º  Fica  expressamente  proibido  o  reembolso  de</w:t>
      </w:r>
    </w:p>
    <w:p>
      <w:pPr>
        <w:ind w:left="260"/>
        <w:spacing w:after="0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despesas realizadas em razão de encontros e reuniões partidárias.</w:t>
      </w:r>
    </w:p>
    <w:p>
      <w:pPr>
        <w:spacing w:after="0" w:line="11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jc w:val="both"/>
        <w:ind w:left="260" w:right="20" w:firstLine="3543"/>
        <w:spacing w:after="0" w:line="236" w:lineRule="auto"/>
        <w:tabs>
          <w:tab w:leader="none" w:pos="4007" w:val="left"/>
        </w:tabs>
        <w:numPr>
          <w:ilvl w:val="0"/>
          <w:numId w:val="1"/>
        </w:numPr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6º Não será autorizada viagem de qualquer Vereador, ou Servidor quando o mesmo não tiver apresentado o Relatório de Prestação de Contas e Reembolso relativo à viagem anteriormente empreendida.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3º Para termos desta Resolução, são consideradas como despesas passíveis de reembolso, as despesas com inscrição em eventos e cursos, alimentação, hospedagem, estacionamento de veículos utilizados no transporte, e demais despesas pertinentes ao deslocamento do Município ao local de destino e o posterior regresso.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3543"/>
        <w:spacing w:after="0" w:line="236" w:lineRule="auto"/>
        <w:tabs>
          <w:tab w:leader="none" w:pos="4002" w:val="left"/>
        </w:tabs>
        <w:numPr>
          <w:ilvl w:val="0"/>
          <w:numId w:val="2"/>
        </w:numPr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1° Apenas serão passíveis de reembolso as despesas com transporte terrestre nas quais for utilizado como meio de transporte o carro oficial da Câmara ou ônibus.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8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(cont. fls .02)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cmstbr@uol.com.br</w:t>
        </w:r>
        <w:r>
          <w:rPr>
            <w:rFonts w:ascii="Arial" w:cs="Arial" w:eastAsia="Arial" w:hAnsi="Arial"/>
            <w:sz w:val="20"/>
            <w:szCs w:val="20"/>
            <w:u w:val="single" w:color="auto"/>
            <w:color w:val="auto"/>
          </w:rPr>
          <w:t xml:space="preserve">. </w:t>
        </w:r>
      </w:hyperlink>
      <w:r>
        <w:rPr>
          <w:rFonts w:ascii="Arial" w:cs="Arial" w:eastAsia="Arial" w:hAnsi="Arial"/>
          <w:sz w:val="20"/>
          <w:szCs w:val="20"/>
          <w:color w:val="auto"/>
        </w:rPr>
        <w:t>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6" w:right="826" w:bottom="156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76325" cy="904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8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fls. 02.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4º Em todos os casos de deslocamentos para viagens previstos nesta Resolução é obrigatória a apresentação do respectivo Relatório de Prestação de Contas e Reembolso constante no Anexo II, no prazo de 3 (três) dias úteis subsequentes ao retorno ao Município, restituindo-se os valores recebidos em excessos quando servidor público.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§ 1° O Relatório de Prestação de Contas e Reembolso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deve conter, entre outros: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I – motivo da viagem;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II – data e horário de partida e regresso;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 w:right="20" w:firstLine="2"/>
        <w:spacing w:after="0" w:line="234" w:lineRule="auto"/>
        <w:tabs>
          <w:tab w:leader="none" w:pos="620" w:val="left"/>
        </w:tabs>
        <w:numPr>
          <w:ilvl w:val="0"/>
          <w:numId w:val="3"/>
        </w:numPr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– atividade desenvolvida na viagem, contatos realizados, objetivos ou soluções alcançadas e outras ocorrências;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IV – meio de transporte utilizado;</w:t>
      </w:r>
    </w:p>
    <w:p>
      <w:pPr>
        <w:spacing w:after="0" w:line="13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ind w:left="260" w:right="2980"/>
        <w:spacing w:after="0" w:line="234" w:lineRule="auto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V – alterações corridas durante o deslocamento, se for o caso; VI – valor de devolução e motivo se for o caso;</w:t>
      </w:r>
    </w:p>
    <w:p>
      <w:pPr>
        <w:spacing w:after="0" w:line="12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ind w:left="260" w:right="2420"/>
        <w:spacing w:after="0" w:line="234" w:lineRule="auto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VII - valor de suplementação conforme comprovantes, se for o caso; VIII – comprovante de passagem, se for o caso;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IX – notas fiscais nos casos dos §§ 3º, 4º e 5º do artigo 2º desta Resolução.</w:t>
      </w:r>
    </w:p>
    <w:p>
      <w:pPr>
        <w:spacing w:after="0" w:line="13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jc w:val="both"/>
        <w:ind w:left="260" w:right="20" w:firstLine="3543"/>
        <w:spacing w:after="0" w:line="250" w:lineRule="auto"/>
        <w:tabs>
          <w:tab w:leader="none" w:pos="3992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i w:val="1"/>
          <w:iCs w:val="1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2° Não serão passíveis de reembolso as despesas não devidamente comprovadas por meio de bilhetes de passagens, notas fiscais e outros documentos admitidos pela administração pública relacionados a cada pagamento efetuado.</w:t>
      </w:r>
    </w:p>
    <w:p>
      <w:pPr>
        <w:ind w:left="4020" w:hanging="217"/>
        <w:spacing w:after="0"/>
        <w:tabs>
          <w:tab w:leader="none" w:pos="4020" w:val="left"/>
        </w:tabs>
        <w:numPr>
          <w:ilvl w:val="1"/>
          <w:numId w:val="3"/>
        </w:numPr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3° Os comprovantes de despesas não podem conter</w:t>
      </w:r>
    </w:p>
    <w:p>
      <w:pPr>
        <w:ind w:left="260"/>
        <w:spacing w:after="0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emendas, rasuras ou borrões, evidenciando o valor em número perfeitamente legível.</w:t>
      </w:r>
    </w:p>
    <w:p>
      <w:pPr>
        <w:spacing w:after="0" w:line="13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jc w:val="both"/>
        <w:ind w:left="260" w:right="20" w:firstLine="3543"/>
        <w:spacing w:after="0" w:line="237" w:lineRule="auto"/>
        <w:tabs>
          <w:tab w:leader="none" w:pos="4021" w:val="left"/>
        </w:tabs>
        <w:numPr>
          <w:ilvl w:val="1"/>
          <w:numId w:val="3"/>
        </w:numPr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4° Em anexo ao Relatório de Prestação de Contas e Reembolso enviado por Vereador ou pela Presidência em razão de contatos de natureza parlamentar, relacionados ao serviço público local ou a serviço do Legislativo, deverá constar uma descrição objetiva dos assuntos tratados e o registro protocolar comprobatório da presença e horário do agente político municipal em cada órgão visitado.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5º A Presidência da Câmara poderá, a título de adiantamento, autorizar a liberação de recursos apenas para servidores, de acordo com o artigo 68 da Lei Federal n°4.320 de 17 de março se 1964 e da Lei Municipal n°215 de 11 de novembro de 1983, precedida de empenho na dotação própria para o fim de realizar despesas com viagens.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060" w:hanging="257"/>
        <w:spacing w:after="0"/>
        <w:tabs>
          <w:tab w:leader="none" w:pos="4060" w:val="left"/>
        </w:tabs>
        <w:numPr>
          <w:ilvl w:val="0"/>
          <w:numId w:val="4"/>
        </w:numPr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1°  Estando  autorizada  a  viagem  o  servidor  deverá</w:t>
      </w:r>
    </w:p>
    <w:p>
      <w:pPr>
        <w:ind w:left="260"/>
        <w:spacing w:after="0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requerer da Presidência da Câmara, o numerário necessário para os fins deste artigo.</w:t>
      </w:r>
    </w:p>
    <w:p>
      <w:pPr>
        <w:spacing w:after="0" w:line="10" w:lineRule="exact"/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</w:p>
    <w:p>
      <w:pPr>
        <w:jc w:val="both"/>
        <w:ind w:left="260" w:right="20" w:firstLine="3543"/>
        <w:spacing w:after="0" w:line="237" w:lineRule="auto"/>
        <w:tabs>
          <w:tab w:leader="none" w:pos="4016" w:val="left"/>
        </w:tabs>
        <w:numPr>
          <w:ilvl w:val="0"/>
          <w:numId w:val="4"/>
        </w:numPr>
        <w:rPr>
          <w:rFonts w:ascii="Arial" w:cs="Arial" w:eastAsia="Arial" w:hAnsi="Arial"/>
          <w:sz w:val="23"/>
          <w:szCs w:val="23"/>
          <w:i w:val="1"/>
          <w:iCs w:val="1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2° Se, por qualquer motivo, a liberação do numerário relativo às despesas não for feita adiantadamente, desde que a viagem e as despesas tenham sido previamente autorizadas, o reembolso poderá ser realizado após apresentação do relatório a que se refere ao artigo 4° desta Resolução.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3541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6º A concessão e o pagamento de despesas de viagem condicionam-se à existência de dotação orçamentária, suplementada se necessário, e disponibilidade financeira, na forma da lei.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(cont. fls .03)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8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fls. 03.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cmstbr@uol.com.br</w:t>
        </w:r>
        <w:r>
          <w:rPr>
            <w:rFonts w:ascii="Arial" w:cs="Arial" w:eastAsia="Arial" w:hAnsi="Arial"/>
            <w:sz w:val="20"/>
            <w:szCs w:val="20"/>
            <w:u w:val="single" w:color="auto"/>
            <w:color w:val="auto"/>
          </w:rPr>
          <w:t xml:space="preserve">. </w:t>
        </w:r>
      </w:hyperlink>
      <w:r>
        <w:rPr>
          <w:rFonts w:ascii="Arial" w:cs="Arial" w:eastAsia="Arial" w:hAnsi="Arial"/>
          <w:sz w:val="20"/>
          <w:szCs w:val="20"/>
          <w:color w:val="auto"/>
        </w:rPr>
        <w:t>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6" w:right="826" w:bottom="156" w:gutter="0" w:footer="0" w:header="0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76325" cy="904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7º Constitui infração grave, punível na forma da Lei, conceder ou receber reembolso de despesas de viagem indevidamente.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8º Não será autorizada despesa de viagem aos sábados, domingos e feriados nacionais, salvo na ocorrência de situação especial comprovada, quando a ausência da sede nesses dias for necessária, mediante prévia autorização da Presidência da Câmara, nos termos da presente Resolução.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9º Nas viagens em que o promotor do evento disponibilizar hospedagem, alimentação, transporte ou outros benefícios para deslocamento, não será permitido o ressarcimento de despesas de viagem, a que título for.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3541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10 Ficam fazendo parte integrante desta Resolução os Anexos I e II, referentes à Autorização de Viagem e Relatório de Prestação de Contas e Reembolso, respectivamente.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11 Os casos omissos poderão ser definidos por ato próprio da Mesa da Câmara, na forma Regimental.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12 As despesas decorrentes desta Resolução correrão por conta de dotações próprias do orçamento vigente.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13 Esta Resolução entrará em vigor na data de sua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publicação.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Art. 14 Revogam-se as disposições em contrário.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Câmara Municipal de Santa Branca, em 28 de novembro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de 2017.-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5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EDER DE ARAÚJO SENNA</w:t>
      </w: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PAULO SÉRGIO DE OLIVEIRA</w:t>
      </w: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DIRETOR GERAL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cmstbr@uol.com.br</w:t>
        </w:r>
        <w:r>
          <w:rPr>
            <w:rFonts w:ascii="Arial" w:cs="Arial" w:eastAsia="Arial" w:hAnsi="Arial"/>
            <w:sz w:val="20"/>
            <w:szCs w:val="20"/>
            <w:u w:val="single" w:color="auto"/>
            <w:color w:val="auto"/>
          </w:rPr>
          <w:t xml:space="preserve">. </w:t>
        </w:r>
      </w:hyperlink>
      <w:r>
        <w:rPr>
          <w:rFonts w:ascii="Arial" w:cs="Arial" w:eastAsia="Arial" w:hAnsi="Arial"/>
          <w:sz w:val="20"/>
          <w:szCs w:val="20"/>
          <w:color w:val="auto"/>
        </w:rPr>
        <w:t>- Santa Branca – SP.</w:t>
      </w:r>
    </w:p>
    <w:sectPr>
      <w:pgSz w:w="11900" w:h="16841" w:orient="portrait"/>
      <w:cols w:equalWidth="0" w:num="1">
        <w:col w:w="9640"/>
      </w:cols>
      <w:pgMar w:left="1440" w:top="946" w:right="826" w:bottom="15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§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§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%1"/>
      <w:numFmt w:val="upperLetter"/>
      <w:start w:val="61"/>
    </w:lvl>
    <w:lvl w:ilvl="1">
      <w:lvlJc w:val="left"/>
      <w:lvlText w:val="§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§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9" Type="http://schemas.openxmlformats.org/officeDocument/2006/relationships/hyperlink" Target="mailto:cmstbr@uol.com.br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2018-03-20T15:16:14Z</dcterms:created>
  <dcterms:modified xsi:type="dcterms:W3CDTF">2018-03-20T15:16:14Z</dcterms:modified>
</cp:coreProperties>
</file>